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1"/>
          <w:numId w:val="0"/>
        </w:numPr>
        <w:kinsoku/>
        <w:wordWrap w:val="0"/>
        <w:overflowPunct/>
        <w:topLinePunct w:val="0"/>
        <w:bidi w:val="0"/>
        <w:snapToGrid w:val="0"/>
        <w:spacing w:before="0" w:beforeLines="0" w:beforeAutospacing="0" w:after="0" w:afterLines="0" w:afterAutospacing="0" w:line="360" w:lineRule="auto"/>
        <w:ind w:leftChars="0"/>
        <w:jc w:val="right"/>
        <w:rPr>
          <w:rFonts w:hint="default" w:eastAsia="宋体"/>
          <w:b/>
          <w:sz w:val="36"/>
          <w:szCs w:val="28"/>
          <w:lang w:val="en-US" w:eastAsia="zh-CN"/>
        </w:rPr>
      </w:pPr>
      <w:bookmarkStart w:id="0" w:name="_Toc25479_WPSOffice_Level2"/>
      <w:bookmarkStart w:id="1" w:name="_Toc975"/>
      <w:bookmarkStart w:id="2" w:name="_Toc29400"/>
      <w:bookmarkStart w:id="3" w:name="_Toc32204"/>
      <w:bookmarkStart w:id="4" w:name="_Toc2288"/>
      <w:bookmarkStart w:id="5" w:name="_Toc6091"/>
      <w:bookmarkStart w:id="6" w:name="_Toc14395"/>
      <w:bookmarkStart w:id="7" w:name="_Toc31994"/>
      <w:bookmarkStart w:id="8" w:name="_Toc22776"/>
      <w:bookmarkStart w:id="9" w:name="_Toc7891"/>
      <w:bookmarkStart w:id="10" w:name="_Toc26506"/>
      <w:bookmarkStart w:id="11" w:name="_Toc2690"/>
      <w:bookmarkStart w:id="12" w:name="_Toc28026"/>
      <w:bookmarkStart w:id="13" w:name="_Toc4725"/>
      <w:bookmarkStart w:id="14" w:name="_Toc21810"/>
      <w:bookmarkStart w:id="15" w:name="_Toc6485"/>
      <w:bookmarkStart w:id="16" w:name="_Toc21258"/>
      <w:bookmarkStart w:id="17" w:name="_Toc1495"/>
      <w:bookmarkStart w:id="18" w:name="_Toc19081"/>
      <w:bookmarkStart w:id="19" w:name="_Toc21978"/>
      <w:r>
        <w:rPr>
          <w:rFonts w:hint="eastAsia"/>
          <w:b/>
          <w:sz w:val="36"/>
          <w:szCs w:val="28"/>
          <w:lang w:val="en-US" w:eastAsia="zh-CN"/>
        </w:rPr>
        <w:t>停车场系统施工规范</w:t>
      </w:r>
      <w:r>
        <w:rPr>
          <w:rFonts w:ascii="宋体" w:hAnsi="宋体" w:eastAsia="宋体" w:cs="宋体"/>
          <w:sz w:val="24"/>
          <w:szCs w:val="24"/>
        </w:rPr>
        <w:t>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</w:t>
      </w:r>
      <w:r>
        <w:rPr>
          <w:rFonts w:ascii="宋体" w:hAnsi="宋体" w:eastAsia="宋体" w:cs="宋体"/>
          <w:sz w:val="24"/>
          <w:szCs w:val="24"/>
        </w:rPr>
        <w:t>QI-09-12-03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A/1</w:t>
      </w:r>
    </w:p>
    <w:p>
      <w:pPr>
        <w:pStyle w:val="2"/>
        <w:numPr>
          <w:ilvl w:val="1"/>
          <w:numId w:val="0"/>
        </w:numPr>
        <w:kinsoku/>
        <w:overflowPunct/>
        <w:topLinePunct w:val="0"/>
        <w:bidi w:val="0"/>
        <w:snapToGrid w:val="0"/>
        <w:spacing w:before="0" w:beforeLines="0" w:beforeAutospacing="0" w:after="0" w:afterLines="0" w:afterAutospacing="0" w:line="360" w:lineRule="auto"/>
        <w:ind w:leftChars="0"/>
        <w:rPr>
          <w:rFonts w:hint="eastAsia" w:ascii="Arial" w:hAnsi="Arial"/>
          <w:b/>
          <w:szCs w:val="22"/>
          <w:lang w:val="en-US" w:eastAsia="zh-CN"/>
        </w:rPr>
      </w:pPr>
      <w:r>
        <w:rPr>
          <w:rFonts w:hint="eastAsia"/>
          <w:b/>
          <w:szCs w:val="22"/>
          <w:lang w:val="en-US" w:eastAsia="zh-CN"/>
        </w:rPr>
        <w:t>一、</w:t>
      </w:r>
      <w:r>
        <w:rPr>
          <w:rFonts w:hint="eastAsia" w:ascii="Arial" w:hAnsi="Arial"/>
          <w:b/>
          <w:szCs w:val="22"/>
          <w:lang w:val="en-US" w:eastAsia="zh-CN"/>
        </w:rPr>
        <w:t>线材</w:t>
      </w:r>
      <w:r>
        <w:rPr>
          <w:rFonts w:hint="eastAsia"/>
          <w:b/>
          <w:szCs w:val="22"/>
          <w:lang w:val="en-US" w:eastAsia="zh-CN"/>
        </w:rPr>
        <w:t>使</w:t>
      </w:r>
      <w:r>
        <w:rPr>
          <w:rFonts w:hint="eastAsia" w:ascii="Arial" w:hAnsi="Arial"/>
          <w:b/>
          <w:szCs w:val="22"/>
          <w:lang w:val="en-US" w:eastAsia="zh-CN"/>
        </w:rPr>
        <w:t>用规范</w:t>
      </w:r>
    </w:p>
    <w:tbl>
      <w:tblPr>
        <w:tblStyle w:val="6"/>
        <w:tblW w:w="978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6"/>
        <w:gridCol w:w="2547"/>
        <w:gridCol w:w="3197"/>
        <w:gridCol w:w="330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  <w:jc w:val="center"/>
        </w:trPr>
        <w:tc>
          <w:tcPr>
            <w:tcW w:w="978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overflowPunct/>
              <w:topLinePunct w:val="0"/>
              <w:bidi w:val="0"/>
              <w:snapToGrid w:val="0"/>
              <w:spacing w:beforeAutospacing="0" w:afterAutospacing="0"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车安科技设备线材选用标准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  <w:jc w:val="center"/>
        </w:trPr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overflowPunct/>
              <w:topLinePunct w:val="0"/>
              <w:bidi w:val="0"/>
              <w:snapToGrid w:val="0"/>
              <w:spacing w:beforeAutospacing="0" w:afterAutospacing="0"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名称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overflowPunct/>
              <w:topLinePunct w:val="0"/>
              <w:bidi w:val="0"/>
              <w:snapToGrid w:val="0"/>
              <w:spacing w:beforeAutospacing="0" w:afterAutospacing="0"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线材规格</w:t>
            </w:r>
          </w:p>
        </w:tc>
        <w:tc>
          <w:tcPr>
            <w:tcW w:w="3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overflowPunct/>
              <w:topLinePunct w:val="0"/>
              <w:bidi w:val="0"/>
              <w:snapToGrid w:val="0"/>
              <w:spacing w:beforeAutospacing="0" w:afterAutospacing="0"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3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overflowPunct/>
              <w:topLinePunct w:val="0"/>
              <w:bidi w:val="0"/>
              <w:snapToGrid w:val="0"/>
              <w:spacing w:beforeAutospacing="0" w:afterAutospacing="0"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  <w:jc w:val="center"/>
        </w:trPr>
        <w:tc>
          <w:tcPr>
            <w:tcW w:w="73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电源线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RVV3*1.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ｍ㎡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（国标）</w:t>
            </w:r>
          </w:p>
        </w:tc>
        <w:tc>
          <w:tcPr>
            <w:tcW w:w="319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车牌识别一体机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道闸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、无人值守终端、控制机、LCD终端、LED屏</w:t>
            </w:r>
          </w:p>
        </w:tc>
        <w:tc>
          <w:tcPr>
            <w:tcW w:w="3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连接配电箱，从配电箱取电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6" w:hRule="atLeast"/>
          <w:jc w:val="center"/>
        </w:trPr>
        <w:tc>
          <w:tcPr>
            <w:tcW w:w="73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通讯线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leftChars="0" w:firstLine="0" w:firstLineChars="0"/>
              <w:jc w:val="both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超五类网线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或者6类网线</w:t>
            </w:r>
          </w:p>
        </w:tc>
        <w:tc>
          <w:tcPr>
            <w:tcW w:w="319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车牌识别一体机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道闸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、无人值守终端、控制机、LCD终端、LED屏</w:t>
            </w:r>
          </w:p>
        </w:tc>
        <w:tc>
          <w:tcPr>
            <w:tcW w:w="3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1、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连接交换机，接入局域网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，距离最长不超过100米。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开闸线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,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连接道闸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手动按钮线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用作485通讯线必须2芯或多芯双绞连接（不能单芯使用）。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地感线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FVN-450/750V-1.0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ｍ㎡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（国标，</w:t>
            </w:r>
            <w:r>
              <w:rPr>
                <w:rFonts w:hint="eastAsia"/>
                <w:szCs w:val="22"/>
                <w:lang w:val="en-US" w:eastAsia="zh-CN"/>
              </w:rPr>
              <w:t>尼龙护套线1平方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）</w:t>
            </w:r>
          </w:p>
        </w:tc>
        <w:tc>
          <w:tcPr>
            <w:tcW w:w="3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地感线</w:t>
            </w:r>
          </w:p>
        </w:tc>
        <w:tc>
          <w:tcPr>
            <w:tcW w:w="3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地感线圈</w:t>
            </w:r>
          </w:p>
        </w:tc>
      </w:tr>
    </w:tbl>
    <w:p>
      <w:pPr>
        <w:numPr>
          <w:ilvl w:val="0"/>
          <w:numId w:val="0"/>
        </w:numPr>
        <w:kinsoku/>
        <w:overflowPunct/>
        <w:topLinePunct w:val="0"/>
        <w:bidi w:val="0"/>
        <w:snapToGrid w:val="0"/>
        <w:spacing w:beforeAutospacing="0" w:afterAutospacing="0" w:line="360" w:lineRule="auto"/>
        <w:ind w:firstLine="412" w:firstLineChars="200"/>
        <w:rPr>
          <w:rFonts w:hint="eastAsia"/>
          <w:b w:val="0"/>
          <w:bCs w:val="0"/>
          <w:szCs w:val="22"/>
          <w:lang w:val="en-US" w:eastAsia="zh-CN"/>
        </w:rPr>
      </w:pPr>
    </w:p>
    <w:p>
      <w:pPr>
        <w:pStyle w:val="2"/>
        <w:numPr>
          <w:ilvl w:val="1"/>
          <w:numId w:val="0"/>
        </w:numPr>
        <w:kinsoku/>
        <w:overflowPunct/>
        <w:topLinePunct w:val="0"/>
        <w:bidi w:val="0"/>
        <w:snapToGrid w:val="0"/>
        <w:spacing w:before="0" w:beforeLines="0" w:beforeAutospacing="0" w:after="0" w:afterLines="0" w:afterAutospacing="0" w:line="360" w:lineRule="auto"/>
        <w:ind w:leftChars="0"/>
        <w:rPr>
          <w:rFonts w:hint="eastAsia"/>
          <w:color w:val="auto"/>
          <w:szCs w:val="22"/>
          <w:lang w:val="en-US" w:eastAsia="zh-CN"/>
        </w:rPr>
      </w:pPr>
      <w:r>
        <w:rPr>
          <w:rFonts w:hint="eastAsia"/>
          <w:b/>
          <w:szCs w:val="22"/>
          <w:lang w:val="en-US" w:eastAsia="zh-CN"/>
        </w:rPr>
        <w:t>二、</w:t>
      </w:r>
      <w:r>
        <w:rPr>
          <w:rFonts w:hint="eastAsia"/>
          <w:color w:val="auto"/>
          <w:szCs w:val="22"/>
          <w:lang w:val="en-US" w:eastAsia="zh-CN"/>
        </w:rPr>
        <w:t>宽带网络要求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hint="eastAsia"/>
          <w:color w:val="auto"/>
          <w:szCs w:val="22"/>
          <w:lang w:val="en-US" w:eastAsia="zh-CN"/>
        </w:rPr>
      </w:pPr>
      <w:r>
        <w:rPr>
          <w:rFonts w:hint="eastAsia"/>
          <w:b/>
          <w:bCs/>
          <w:color w:val="auto"/>
          <w:szCs w:val="22"/>
          <w:lang w:val="en-US" w:eastAsia="zh-CN"/>
        </w:rPr>
        <w:t>1、宽带速率大小：</w:t>
      </w:r>
      <w:r>
        <w:rPr>
          <w:rFonts w:hint="eastAsia"/>
          <w:color w:val="auto"/>
          <w:szCs w:val="22"/>
          <w:lang w:val="en-US" w:eastAsia="zh-CN"/>
        </w:rPr>
        <w:t>接入宽带速率不低于20M（上下行速率均需20M以上，支持小于5进5出）；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hint="eastAsia"/>
          <w:color w:val="auto"/>
          <w:szCs w:val="22"/>
          <w:lang w:val="en-US" w:eastAsia="zh-CN"/>
        </w:rPr>
      </w:pPr>
      <w:r>
        <w:rPr>
          <w:rFonts w:hint="eastAsia"/>
          <w:b/>
          <w:bCs/>
          <w:color w:val="auto"/>
          <w:szCs w:val="22"/>
          <w:lang w:val="en-US" w:eastAsia="zh-CN"/>
        </w:rPr>
        <w:t>2、路由器的选择：</w:t>
      </w:r>
      <w:r>
        <w:rPr>
          <w:rFonts w:hint="eastAsia"/>
          <w:b w:val="0"/>
          <w:bCs w:val="0"/>
          <w:color w:val="auto"/>
          <w:szCs w:val="22"/>
          <w:lang w:val="en-US" w:eastAsia="zh-CN"/>
        </w:rPr>
        <w:t>室内：</w:t>
      </w:r>
      <w:r>
        <w:rPr>
          <w:rFonts w:hint="eastAsia"/>
          <w:color w:val="auto"/>
          <w:szCs w:val="22"/>
          <w:lang w:val="en-US" w:eastAsia="zh-CN"/>
        </w:rPr>
        <w:t>企业级路由器（非家用路由器），室外：工业级路由器。</w:t>
      </w:r>
      <w:bookmarkStart w:id="20" w:name="_GoBack"/>
      <w:bookmarkEnd w:id="2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hint="eastAsia"/>
          <w:szCs w:val="22"/>
          <w:lang w:val="en-US" w:eastAsia="zh-CN"/>
        </w:rPr>
      </w:pPr>
      <w:r>
        <w:rPr>
          <w:rFonts w:hint="eastAsia"/>
          <w:b/>
          <w:bCs/>
          <w:color w:val="auto"/>
          <w:szCs w:val="22"/>
          <w:lang w:val="en-US" w:eastAsia="zh-CN"/>
        </w:rPr>
        <w:t>3、宽带使用环境要求：</w:t>
      </w:r>
      <w:r>
        <w:rPr>
          <w:rFonts w:hint="eastAsia"/>
          <w:color w:val="FF0000"/>
          <w:szCs w:val="22"/>
          <w:lang w:val="en-US" w:eastAsia="zh-CN"/>
        </w:rPr>
        <w:t>接入的宽带必须给车场系统独立使用，</w:t>
      </w:r>
      <w:r>
        <w:rPr>
          <w:rFonts w:hint="eastAsia"/>
          <w:color w:val="auto"/>
          <w:szCs w:val="22"/>
          <w:lang w:val="en-US" w:eastAsia="zh-CN"/>
        </w:rPr>
        <w:t>不能与办公内部网络或监控网络混用。</w:t>
      </w:r>
    </w:p>
    <w:p>
      <w:pPr>
        <w:pStyle w:val="2"/>
        <w:numPr>
          <w:ilvl w:val="1"/>
          <w:numId w:val="0"/>
        </w:numPr>
        <w:kinsoku/>
        <w:overflowPunct/>
        <w:topLinePunct w:val="0"/>
        <w:bidi w:val="0"/>
        <w:snapToGrid w:val="0"/>
        <w:spacing w:before="0" w:beforeLines="0" w:beforeAutospacing="0" w:after="0" w:afterLines="0" w:afterAutospacing="0" w:line="360" w:lineRule="auto"/>
        <w:ind w:leftChars="0"/>
        <w:rPr>
          <w:rFonts w:hint="eastAsia" w:ascii="Arial" w:hAnsi="Arial"/>
          <w:b/>
          <w:szCs w:val="22"/>
          <w:lang w:val="en-US" w:eastAsia="zh-CN"/>
        </w:rPr>
      </w:pPr>
      <w:r>
        <w:rPr>
          <w:rFonts w:hint="eastAsia"/>
          <w:b/>
          <w:szCs w:val="22"/>
          <w:lang w:val="en-US" w:eastAsia="zh-CN"/>
        </w:rPr>
        <w:t>三、</w:t>
      </w:r>
      <w:r>
        <w:rPr>
          <w:rFonts w:hint="eastAsia" w:ascii="Arial" w:hAnsi="Arial"/>
          <w:b/>
          <w:szCs w:val="22"/>
          <w:lang w:val="en-US" w:eastAsia="zh-CN"/>
        </w:rPr>
        <w:t>设备安装</w:t>
      </w:r>
      <w:bookmarkEnd w:id="0"/>
      <w:bookmarkEnd w:id="1"/>
      <w:r>
        <w:rPr>
          <w:rFonts w:hint="eastAsia" w:ascii="Arial" w:hAnsi="Arial"/>
          <w:b/>
          <w:szCs w:val="22"/>
          <w:lang w:val="en-US" w:eastAsia="zh-CN"/>
        </w:rPr>
        <w:t>规范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left="0" w:leftChars="0" w:firstLine="0" w:firstLineChars="0"/>
        <w:textAlignment w:val="auto"/>
        <w:rPr>
          <w:rFonts w:hint="eastAsia"/>
          <w:szCs w:val="22"/>
          <w:lang w:val="en-US" w:eastAsia="zh-CN"/>
        </w:rPr>
      </w:pPr>
      <w:r>
        <w:rPr>
          <w:rFonts w:hint="eastAsia"/>
          <w:b/>
          <w:bCs/>
          <w:szCs w:val="22"/>
          <w:lang w:val="en-US" w:eastAsia="zh-CN"/>
        </w:rPr>
        <w:t>水平安装</w:t>
      </w:r>
      <w:r>
        <w:rPr>
          <w:rFonts w:hint="eastAsia"/>
          <w:szCs w:val="22"/>
          <w:lang w:val="en-US" w:eastAsia="zh-CN"/>
        </w:rPr>
        <w:t>：设备应立于水平基面安装，不能倾斜安装</w:t>
      </w:r>
      <w:r>
        <w:rPr>
          <w:rFonts w:hint="eastAsia"/>
          <w:color w:val="auto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left="0" w:leftChars="0" w:firstLine="0" w:firstLineChars="0"/>
        <w:textAlignment w:val="auto"/>
        <w:rPr>
          <w:rFonts w:hint="eastAsia"/>
          <w:szCs w:val="22"/>
          <w:lang w:val="en-US" w:eastAsia="zh-CN"/>
        </w:rPr>
      </w:pPr>
      <w:r>
        <w:rPr>
          <w:rFonts w:hint="eastAsia"/>
          <w:b/>
          <w:bCs/>
          <w:szCs w:val="22"/>
          <w:lang w:val="en-US" w:eastAsia="zh-CN"/>
        </w:rPr>
        <w:t>识别车道要求：</w:t>
      </w:r>
      <w:r>
        <w:rPr>
          <w:rFonts w:hint="eastAsia"/>
          <w:b w:val="0"/>
          <w:bCs w:val="0"/>
          <w:szCs w:val="22"/>
          <w:lang w:val="en-US" w:eastAsia="zh-CN"/>
        </w:rPr>
        <w:t>车道</w:t>
      </w:r>
      <w:r>
        <w:rPr>
          <w:rFonts w:hint="eastAsia"/>
          <w:szCs w:val="22"/>
          <w:lang w:val="en-US" w:eastAsia="zh-CN"/>
        </w:rPr>
        <w:t>宽度不大于3.5米，通道方向与车头角度不大于15°（车道尽量选择直道，弯道尽量平滑）；消防车道请安装移动隔离桩。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left="0" w:leftChars="0" w:firstLine="0" w:firstLineChars="0"/>
        <w:textAlignment w:val="auto"/>
        <w:rPr>
          <w:rFonts w:hint="eastAsia"/>
          <w:szCs w:val="22"/>
          <w:lang w:val="en-US" w:eastAsia="zh-CN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639445</wp:posOffset>
            </wp:positionV>
            <wp:extent cx="6050915" cy="3547110"/>
            <wp:effectExtent l="0" t="0" r="6985" b="15240"/>
            <wp:wrapNone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rcRect t="7546" b="9562"/>
                    <a:stretch>
                      <a:fillRect/>
                    </a:stretch>
                  </pic:blipFill>
                  <pic:spPr>
                    <a:xfrm>
                      <a:off x="0" y="0"/>
                      <a:ext cx="6050915" cy="3547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Cs w:val="22"/>
          <w:lang w:val="en-US" w:eastAsia="zh-CN"/>
        </w:rPr>
        <w:t>设备定位：</w:t>
      </w:r>
      <w:r>
        <w:rPr>
          <w:rFonts w:hint="eastAsia"/>
          <w:b w:val="0"/>
          <w:bCs w:val="0"/>
          <w:szCs w:val="22"/>
          <w:lang w:val="en-US" w:eastAsia="zh-CN"/>
        </w:rPr>
        <w:t>以道闸为基准，</w:t>
      </w:r>
      <w:r>
        <w:rPr>
          <w:rFonts w:hint="eastAsia"/>
          <w:szCs w:val="22"/>
          <w:lang w:val="en-US" w:eastAsia="zh-CN"/>
        </w:rPr>
        <w:t>道闸与车牌识别相机距离不大于50CM（相机必须安装在道闸前面）；无人值守设备与道闸距离2.8米~3.5米（无人值守设备安装在道闸前面）；车牌识别相机与触发地感（车牌识别框）的距离3.5米~4米；环境相机与道闸距离1米~2米（环境相机须安装在道闸后面）。安装示意图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jc w:val="both"/>
        <w:textAlignment w:val="auto"/>
        <w:rPr>
          <w:rFonts w:hint="eastAsia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jc w:val="both"/>
        <w:textAlignment w:val="auto"/>
        <w:rPr>
          <w:rFonts w:hint="eastAsia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jc w:val="both"/>
        <w:textAlignment w:val="auto"/>
        <w:rPr>
          <w:rFonts w:hint="eastAsia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jc w:val="both"/>
        <w:textAlignment w:val="auto"/>
        <w:rPr>
          <w:rFonts w:hint="eastAsia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jc w:val="both"/>
        <w:textAlignment w:val="auto"/>
        <w:rPr>
          <w:rFonts w:hint="eastAsia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jc w:val="both"/>
        <w:textAlignment w:val="auto"/>
        <w:rPr>
          <w:rFonts w:hint="eastAsia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jc w:val="both"/>
        <w:textAlignment w:val="auto"/>
        <w:rPr>
          <w:rFonts w:hint="eastAsia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jc w:val="both"/>
        <w:textAlignment w:val="auto"/>
        <w:rPr>
          <w:rFonts w:hint="eastAsia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jc w:val="both"/>
        <w:textAlignment w:val="auto"/>
        <w:rPr>
          <w:rFonts w:hint="eastAsia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jc w:val="both"/>
        <w:textAlignment w:val="auto"/>
        <w:rPr>
          <w:rFonts w:hint="eastAsia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jc w:val="both"/>
        <w:textAlignment w:val="auto"/>
        <w:rPr>
          <w:rFonts w:hint="eastAsia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jc w:val="both"/>
        <w:textAlignment w:val="auto"/>
        <w:rPr>
          <w:rFonts w:hint="eastAsia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jc w:val="both"/>
        <w:textAlignment w:val="auto"/>
        <w:rPr>
          <w:rFonts w:hint="eastAsia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left="0" w:leftChars="0" w:firstLine="0" w:firstLineChars="0"/>
        <w:textAlignment w:val="auto"/>
        <w:rPr>
          <w:rFonts w:hint="eastAsia"/>
          <w:szCs w:val="22"/>
          <w:lang w:val="en-US" w:eastAsia="zh-CN"/>
        </w:rPr>
      </w:pPr>
      <w:r>
        <w:rPr>
          <w:rFonts w:hint="eastAsia"/>
          <w:b/>
          <w:bCs/>
          <w:szCs w:val="22"/>
          <w:lang w:val="en-US" w:eastAsia="zh-CN"/>
        </w:rPr>
        <w:t>人车分流：</w:t>
      </w:r>
      <w:r>
        <w:rPr>
          <w:rFonts w:hint="eastAsia"/>
          <w:szCs w:val="22"/>
          <w:lang w:val="en-US" w:eastAsia="zh-CN"/>
        </w:rPr>
        <w:t>车行通道和人行通道须要进行分流隔离。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left="0" w:leftChars="0" w:firstLine="0" w:firstLineChars="0"/>
        <w:textAlignment w:val="auto"/>
        <w:rPr>
          <w:rFonts w:hint="eastAsia"/>
          <w:color w:val="auto"/>
          <w:szCs w:val="22"/>
          <w:lang w:val="en-US" w:eastAsia="zh-CN"/>
        </w:rPr>
      </w:pPr>
      <w:r>
        <w:rPr>
          <w:rFonts w:hint="eastAsia"/>
          <w:b/>
          <w:bCs/>
          <w:color w:val="auto"/>
          <w:szCs w:val="22"/>
          <w:lang w:val="en-US" w:eastAsia="zh-CN"/>
        </w:rPr>
        <w:t>布管布线：</w:t>
      </w:r>
      <w:r>
        <w:rPr>
          <w:rFonts w:hint="eastAsia"/>
          <w:color w:val="auto"/>
          <w:lang w:val="en-US" w:eastAsia="zh-CN"/>
        </w:rPr>
        <w:t>强、弱电需分开不能共用同一条管，</w:t>
      </w:r>
      <w:r>
        <w:rPr>
          <w:rFonts w:hint="eastAsia" w:ascii="宋体" w:hAnsi="宋体" w:cs="宋体"/>
          <w:color w:val="auto"/>
          <w:lang w:val="en-US" w:eastAsia="zh-CN"/>
        </w:rPr>
        <w:t>线材</w:t>
      </w:r>
      <w:r>
        <w:rPr>
          <w:rFonts w:hint="eastAsia" w:ascii="宋体" w:hAnsi="宋体" w:eastAsia="宋体" w:cs="宋体"/>
          <w:color w:val="auto"/>
          <w:lang w:val="en-US" w:eastAsia="zh-CN"/>
        </w:rPr>
        <w:t>中间不能有接头</w:t>
      </w:r>
      <w:r>
        <w:rPr>
          <w:rFonts w:hint="eastAsia" w:ascii="宋体" w:hAnsi="宋体" w:cs="宋体"/>
          <w:color w:val="auto"/>
          <w:lang w:val="en-US" w:eastAsia="zh-CN"/>
        </w:rPr>
        <w:t>，严格按施工图规范要求施工。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left="0" w:leftChars="0" w:firstLine="0" w:firstLineChars="0"/>
        <w:textAlignment w:val="auto"/>
        <w:rPr>
          <w:rFonts w:hint="eastAsia"/>
          <w:color w:val="auto"/>
          <w:szCs w:val="22"/>
          <w:lang w:val="en-US" w:eastAsia="zh-CN"/>
        </w:rPr>
      </w:pPr>
      <w:r>
        <w:rPr>
          <w:rFonts w:hint="eastAsia"/>
          <w:b/>
          <w:bCs/>
          <w:color w:val="auto"/>
          <w:lang w:val="en-US" w:eastAsia="zh-CN"/>
        </w:rPr>
        <w:t>接地要求：</w:t>
      </w:r>
      <w:r>
        <w:rPr>
          <w:rFonts w:hint="eastAsia"/>
          <w:b w:val="0"/>
          <w:bCs w:val="0"/>
          <w:color w:val="auto"/>
          <w:lang w:val="en-US" w:eastAsia="zh-CN"/>
        </w:rPr>
        <w:t>车场设备的电源和</w:t>
      </w:r>
      <w:r>
        <w:rPr>
          <w:rFonts w:hint="eastAsia"/>
          <w:color w:val="auto"/>
        </w:rPr>
        <w:t>道闸</w:t>
      </w:r>
      <w:r>
        <w:rPr>
          <w:rFonts w:hint="eastAsia"/>
          <w:color w:val="auto"/>
          <w:lang w:val="en-US" w:eastAsia="zh-CN"/>
        </w:rPr>
        <w:t>机箱必须有效</w:t>
      </w:r>
      <w:r>
        <w:rPr>
          <w:rFonts w:hint="eastAsia"/>
          <w:color w:val="auto"/>
        </w:rPr>
        <w:t>接地</w:t>
      </w:r>
      <w:r>
        <w:rPr>
          <w:rFonts w:hint="eastAsia"/>
          <w:color w:val="auto"/>
          <w:lang w:eastAsia="zh-CN"/>
        </w:rPr>
        <w:t>。</w:t>
      </w:r>
    </w:p>
    <w:p>
      <w:pPr>
        <w:pStyle w:val="2"/>
        <w:numPr>
          <w:ilvl w:val="1"/>
          <w:numId w:val="0"/>
        </w:numPr>
        <w:kinsoku/>
        <w:overflowPunct/>
        <w:topLinePunct w:val="0"/>
        <w:bidi w:val="0"/>
        <w:snapToGrid w:val="0"/>
        <w:spacing w:before="0" w:beforeLines="0" w:beforeAutospacing="0" w:after="0" w:afterLines="0" w:afterAutospacing="0" w:line="360" w:lineRule="auto"/>
        <w:ind w:leftChars="0"/>
        <w:rPr>
          <w:rFonts w:hint="eastAsia" w:ascii="Arial" w:hAnsi="Arial"/>
          <w:b/>
          <w:color w:val="auto"/>
          <w:szCs w:val="22"/>
          <w:lang w:val="en-US" w:eastAsia="zh-CN"/>
        </w:rPr>
      </w:pPr>
      <w:r>
        <w:rPr>
          <w:rFonts w:hint="eastAsia"/>
          <w:b/>
          <w:color w:val="auto"/>
          <w:szCs w:val="22"/>
          <w:lang w:val="en-US" w:eastAsia="zh-CN"/>
        </w:rPr>
        <w:t>四、</w:t>
      </w:r>
      <w:r>
        <w:rPr>
          <w:rFonts w:hint="eastAsia" w:ascii="Arial" w:hAnsi="Arial"/>
          <w:b/>
          <w:color w:val="auto"/>
          <w:szCs w:val="22"/>
          <w:lang w:val="en-US" w:eastAsia="zh-CN"/>
        </w:rPr>
        <w:t>地感线圈规范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leftChars="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b/>
          <w:bCs/>
          <w:szCs w:val="22"/>
          <w:lang w:val="en-US" w:eastAsia="zh-CN"/>
        </w:rPr>
        <w:t>1、线圈环境要求：</w:t>
      </w:r>
      <w:r>
        <w:rPr>
          <w:rFonts w:hint="eastAsia"/>
          <w:b w:val="0"/>
          <w:bCs w:val="0"/>
          <w:szCs w:val="22"/>
          <w:lang w:val="en-US" w:eastAsia="zh-CN"/>
        </w:rPr>
        <w:t>线圈</w:t>
      </w:r>
      <w:r>
        <w:rPr>
          <w:rFonts w:hint="eastAsia"/>
          <w:szCs w:val="22"/>
          <w:lang w:val="en-US" w:eastAsia="zh-CN"/>
        </w:rPr>
        <w:t>应</w:t>
      </w:r>
      <w:r>
        <w:rPr>
          <w:rFonts w:hint="eastAsia"/>
          <w:lang w:val="en-US" w:eastAsia="zh-CN"/>
        </w:rPr>
        <w:t>避开地面井盖、</w:t>
      </w:r>
      <w:r>
        <w:rPr>
          <w:rFonts w:hint="eastAsia"/>
          <w:color w:val="auto"/>
        </w:rPr>
        <w:t>排水沟</w:t>
      </w:r>
      <w:r>
        <w:rPr>
          <w:rFonts w:hint="eastAsia"/>
          <w:color w:val="auto"/>
          <w:lang w:val="en-US" w:eastAsia="zh-CN"/>
        </w:rPr>
        <w:t>铁盖、钢铁网等</w:t>
      </w:r>
      <w:r>
        <w:rPr>
          <w:rFonts w:hint="eastAsia"/>
          <w:color w:val="auto"/>
        </w:rPr>
        <w:t>金属物</w:t>
      </w:r>
      <w:r>
        <w:rPr>
          <w:rFonts w:hint="eastAsia"/>
          <w:color w:val="auto"/>
          <w:lang w:val="en-US" w:eastAsia="zh-CN"/>
        </w:rPr>
        <w:t>50CM以上，避开强电电缆沟100CM</w:t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以上。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leftChars="0"/>
        <w:textAlignment w:val="auto"/>
        <w:rPr>
          <w:rFonts w:hint="eastAsia"/>
          <w:b/>
          <w:bCs/>
          <w:color w:val="auto"/>
          <w:szCs w:val="22"/>
          <w:lang w:val="en-US" w:eastAsia="zh-CN"/>
        </w:rPr>
      </w:pPr>
      <w:r>
        <w:rPr>
          <w:rFonts w:hint="eastAsia"/>
          <w:color w:val="auto"/>
          <w:lang w:val="en-US" w:eastAsia="zh-CN"/>
        </w:rPr>
        <w:t>2、</w:t>
      </w:r>
      <w:r>
        <w:rPr>
          <w:rFonts w:hint="eastAsia"/>
          <w:b/>
          <w:bCs/>
          <w:color w:val="auto"/>
          <w:lang w:val="en-US" w:eastAsia="zh-CN"/>
        </w:rPr>
        <w:t>线圈路面要求：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leftChars="0"/>
        <w:textAlignment w:val="auto"/>
        <w:rPr>
          <w:rFonts w:hint="eastAsia"/>
          <w:color w:val="auto"/>
          <w:szCs w:val="22"/>
          <w:lang w:val="en-US" w:eastAsia="zh-CN"/>
        </w:rPr>
      </w:pPr>
      <w:r>
        <w:rPr>
          <w:rFonts w:hint="eastAsia"/>
          <w:b/>
          <w:bCs/>
          <w:color w:val="auto"/>
          <w:szCs w:val="22"/>
          <w:lang w:val="en-US" w:eastAsia="zh-CN"/>
        </w:rPr>
        <w:t>（1）水泥路面要求：</w:t>
      </w:r>
      <w:r>
        <w:rPr>
          <w:rFonts w:hint="eastAsia"/>
          <w:color w:val="auto"/>
          <w:szCs w:val="22"/>
          <w:lang w:val="en-US" w:eastAsia="zh-CN"/>
        </w:rPr>
        <w:t>水泥路面平整、表面没有裂痕，直接水泥路面切割。</w:t>
      </w:r>
    </w:p>
    <w:p>
      <w:pPr>
        <w:numPr>
          <w:ilvl w:val="0"/>
          <w:numId w:val="0"/>
        </w:numPr>
        <w:kinsoku/>
        <w:overflowPunct/>
        <w:topLinePunct w:val="0"/>
        <w:bidi w:val="0"/>
        <w:snapToGrid w:val="0"/>
        <w:spacing w:beforeAutospacing="0" w:afterAutospacing="0" w:line="360" w:lineRule="auto"/>
        <w:ind w:leftChars="0"/>
        <w:rPr>
          <w:rFonts w:hint="eastAsia"/>
          <w:color w:val="auto"/>
          <w:szCs w:val="22"/>
          <w:lang w:val="en-US" w:eastAsia="zh-CN"/>
        </w:rPr>
      </w:pPr>
      <w:r>
        <w:rPr>
          <w:rFonts w:hint="eastAsia"/>
          <w:b/>
          <w:bCs/>
          <w:color w:val="auto"/>
          <w:szCs w:val="22"/>
          <w:lang w:val="en-US" w:eastAsia="zh-CN"/>
        </w:rPr>
        <w:t>（2）沥青路面要求：</w:t>
      </w:r>
      <w:r>
        <w:rPr>
          <w:rFonts w:hint="eastAsia"/>
          <w:color w:val="auto"/>
          <w:szCs w:val="22"/>
          <w:lang w:val="en-US" w:eastAsia="zh-CN"/>
        </w:rPr>
        <w:t>路面平整、表面没有裂痕，在沥青路面直接进行切割。</w:t>
      </w:r>
    </w:p>
    <w:p>
      <w:pPr>
        <w:numPr>
          <w:ilvl w:val="0"/>
          <w:numId w:val="0"/>
        </w:numPr>
        <w:kinsoku/>
        <w:overflowPunct/>
        <w:topLinePunct w:val="0"/>
        <w:bidi w:val="0"/>
        <w:snapToGrid w:val="0"/>
        <w:spacing w:beforeAutospacing="0" w:afterAutospacing="0" w:line="360" w:lineRule="auto"/>
        <w:ind w:leftChars="0"/>
        <w:rPr>
          <w:rFonts w:hint="eastAsia"/>
          <w:color w:val="auto"/>
          <w:szCs w:val="22"/>
          <w:lang w:val="en-US" w:eastAsia="zh-CN"/>
        </w:rPr>
      </w:pPr>
      <w:r>
        <w:rPr>
          <w:rFonts w:hint="eastAsia"/>
          <w:b/>
          <w:bCs/>
          <w:color w:val="auto"/>
          <w:szCs w:val="22"/>
          <w:lang w:val="en-US" w:eastAsia="zh-CN"/>
        </w:rPr>
        <w:t>（3）地砖类与大理石路面要求：</w:t>
      </w:r>
      <w:r>
        <w:rPr>
          <w:rFonts w:hint="eastAsia"/>
          <w:color w:val="auto"/>
          <w:szCs w:val="22"/>
          <w:lang w:val="en-US" w:eastAsia="zh-CN"/>
        </w:rPr>
        <w:t>不能在此类路面直接进行切割，必须挖开并对地面进行硬化处理后再切割。</w:t>
      </w:r>
    </w:p>
    <w:p>
      <w:pPr>
        <w:numPr>
          <w:ilvl w:val="0"/>
          <w:numId w:val="0"/>
        </w:numPr>
        <w:kinsoku/>
        <w:overflowPunct/>
        <w:topLinePunct w:val="0"/>
        <w:bidi w:val="0"/>
        <w:snapToGrid w:val="0"/>
        <w:spacing w:beforeAutospacing="0" w:afterAutospacing="0" w:line="360" w:lineRule="auto"/>
        <w:ind w:leftChars="0"/>
        <w:rPr>
          <w:rFonts w:hint="eastAsia"/>
          <w:color w:val="auto"/>
          <w:szCs w:val="22"/>
          <w:lang w:val="en-US" w:eastAsia="zh-CN"/>
        </w:rPr>
      </w:pPr>
      <w:r>
        <w:rPr>
          <w:rFonts w:hint="eastAsia"/>
          <w:b/>
          <w:bCs/>
          <w:color w:val="auto"/>
          <w:lang w:val="en-US" w:eastAsia="zh-CN"/>
        </w:rPr>
        <w:t>（4）地感线圈</w:t>
      </w:r>
      <w:r>
        <w:rPr>
          <w:rFonts w:hint="eastAsia"/>
          <w:b/>
          <w:bCs/>
          <w:color w:val="auto"/>
          <w:szCs w:val="22"/>
          <w:lang w:val="en-US" w:eastAsia="zh-CN"/>
        </w:rPr>
        <w:t>回填要求：</w:t>
      </w:r>
      <w:r>
        <w:rPr>
          <w:rFonts w:hint="eastAsia"/>
          <w:color w:val="auto"/>
          <w:szCs w:val="22"/>
          <w:lang w:val="en-US" w:eastAsia="zh-CN"/>
        </w:rPr>
        <w:t>必须先清理线圈切缝内杂物并吹干，再使用沥青或环氧树脂回填。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hint="eastAsia"/>
          <w:b/>
          <w:bCs/>
          <w:color w:val="auto"/>
          <w:szCs w:val="22"/>
          <w:lang w:val="en-US" w:eastAsia="zh-CN"/>
        </w:rPr>
      </w:pPr>
      <w:r>
        <w:rPr>
          <w:rFonts w:hint="eastAsia"/>
          <w:b/>
          <w:bCs/>
          <w:color w:val="auto"/>
          <w:lang w:val="en-US" w:eastAsia="zh-CN"/>
        </w:rPr>
        <w:t>3、线圈切割工艺要求：</w:t>
      </w:r>
    </w:p>
    <w:p>
      <w:pPr>
        <w:numPr>
          <w:ilvl w:val="0"/>
          <w:numId w:val="0"/>
        </w:numPr>
        <w:kinsoku/>
        <w:overflowPunct/>
        <w:topLinePunct w:val="0"/>
        <w:bidi w:val="0"/>
        <w:snapToGrid w:val="0"/>
        <w:spacing w:beforeAutospacing="0" w:afterAutospacing="0" w:line="360" w:lineRule="auto"/>
        <w:rPr>
          <w:rFonts w:hint="eastAsia"/>
          <w:color w:val="auto"/>
          <w:szCs w:val="22"/>
          <w:lang w:val="en-US" w:eastAsia="zh-CN"/>
        </w:rPr>
      </w:pPr>
      <w:r>
        <w:rPr>
          <w:rFonts w:hint="eastAsia"/>
          <w:b/>
          <w:bCs/>
          <w:color w:val="auto"/>
          <w:szCs w:val="22"/>
          <w:lang w:val="en-US" w:eastAsia="zh-CN"/>
        </w:rPr>
        <w:t>（1）线圈形状：</w:t>
      </w:r>
      <w:r>
        <w:rPr>
          <w:rFonts w:hint="eastAsia"/>
          <w:color w:val="auto"/>
          <w:szCs w:val="22"/>
          <w:lang w:val="en-US" w:eastAsia="zh-CN"/>
        </w:rPr>
        <w:t>埋设首先要在地面上切出四个有倒角的长方形沟槽，防止沟槽尖角破坏线圈电缆。</w:t>
      </w:r>
    </w:p>
    <w:p>
      <w:pPr>
        <w:numPr>
          <w:ilvl w:val="0"/>
          <w:numId w:val="0"/>
        </w:numPr>
        <w:kinsoku/>
        <w:overflowPunct/>
        <w:topLinePunct w:val="0"/>
        <w:bidi w:val="0"/>
        <w:snapToGrid w:val="0"/>
        <w:spacing w:beforeAutospacing="0" w:afterAutospacing="0" w:line="360" w:lineRule="auto"/>
        <w:rPr>
          <w:rFonts w:hint="eastAsia"/>
          <w:color w:val="auto"/>
          <w:szCs w:val="22"/>
          <w:lang w:val="en-US" w:eastAsia="zh-CN"/>
        </w:rPr>
      </w:pPr>
      <w:r>
        <w:rPr>
          <w:rFonts w:hint="eastAsia"/>
          <w:b/>
          <w:bCs/>
          <w:color w:val="auto"/>
          <w:szCs w:val="22"/>
          <w:lang w:val="en-US" w:eastAsia="zh-CN"/>
        </w:rPr>
        <w:t>（2）宽度与深度：</w:t>
      </w:r>
      <w:r>
        <w:rPr>
          <w:rFonts w:hint="eastAsia"/>
          <w:color w:val="auto"/>
          <w:szCs w:val="22"/>
          <w:lang w:val="en-US" w:eastAsia="zh-CN"/>
        </w:rPr>
        <w:t>切槽宽度为0.5CM、深度5CM，切割太深地感不灵敏会导致砸车，埋线须紧贴槽底。</w:t>
      </w:r>
    </w:p>
    <w:p>
      <w:pPr>
        <w:numPr>
          <w:ilvl w:val="0"/>
          <w:numId w:val="0"/>
        </w:numPr>
        <w:kinsoku/>
        <w:overflowPunct/>
        <w:topLinePunct w:val="0"/>
        <w:bidi w:val="0"/>
        <w:snapToGrid w:val="0"/>
        <w:spacing w:beforeAutospacing="0" w:afterAutospacing="0" w:line="360" w:lineRule="auto"/>
        <w:rPr>
          <w:rFonts w:hint="eastAsia"/>
          <w:color w:val="auto"/>
          <w:szCs w:val="22"/>
          <w:lang w:val="en-US" w:eastAsia="zh-CN"/>
        </w:rPr>
      </w:pPr>
      <w:r>
        <w:rPr>
          <w:rFonts w:hint="eastAsia"/>
          <w:b/>
          <w:bCs/>
          <w:color w:val="auto"/>
          <w:szCs w:val="22"/>
          <w:lang w:val="en-US" w:eastAsia="zh-CN"/>
        </w:rPr>
        <w:t>（3）冗余馈线长度与绕对：</w:t>
      </w:r>
      <w:r>
        <w:rPr>
          <w:rFonts w:hint="eastAsia"/>
          <w:color w:val="auto"/>
          <w:lang w:val="en-US" w:eastAsia="zh-CN"/>
        </w:rPr>
        <w:t>机箱内地感线圈</w:t>
      </w:r>
      <w:r>
        <w:rPr>
          <w:rFonts w:hint="eastAsia"/>
          <w:color w:val="auto"/>
        </w:rPr>
        <w:t>冗余馈线长度不超过10</w:t>
      </w:r>
      <w:r>
        <w:rPr>
          <w:rFonts w:hint="eastAsia"/>
          <w:color w:val="auto"/>
          <w:lang w:val="en-US" w:eastAsia="zh-CN"/>
        </w:rPr>
        <w:t>CM</w:t>
      </w:r>
      <w:r>
        <w:rPr>
          <w:rFonts w:hint="eastAsia"/>
          <w:color w:val="auto"/>
          <w:szCs w:val="22"/>
          <w:lang w:val="en-US" w:eastAsia="zh-CN"/>
        </w:rPr>
        <w:t>，</w:t>
      </w:r>
      <w:r>
        <w:rPr>
          <w:rFonts w:hint="eastAsia"/>
          <w:color w:val="auto"/>
          <w:lang w:val="en-US" w:eastAsia="zh-CN"/>
        </w:rPr>
        <w:t>且</w:t>
      </w:r>
      <w:r>
        <w:rPr>
          <w:rFonts w:hint="eastAsia"/>
          <w:color w:val="auto"/>
          <w:szCs w:val="22"/>
          <w:lang w:val="en-US" w:eastAsia="zh-CN"/>
        </w:rPr>
        <w:t>双绞编数</w:t>
      </w:r>
      <w:r>
        <w:rPr>
          <w:rFonts w:hint="eastAsia"/>
          <w:color w:val="auto"/>
          <w:lang w:val="en-US" w:eastAsia="zh-CN"/>
        </w:rPr>
        <w:t>30CM为10</w:t>
      </w:r>
      <w:r>
        <w:rPr>
          <w:rFonts w:hint="eastAsia"/>
          <w:color w:val="auto"/>
          <w:szCs w:val="22"/>
          <w:lang w:val="en-US" w:eastAsia="zh-CN"/>
        </w:rPr>
        <w:t>编。</w:t>
      </w:r>
    </w:p>
    <w:p>
      <w:pPr>
        <w:numPr>
          <w:ilvl w:val="0"/>
          <w:numId w:val="0"/>
        </w:numPr>
        <w:kinsoku/>
        <w:overflowPunct/>
        <w:topLinePunct w:val="0"/>
        <w:bidi w:val="0"/>
        <w:snapToGrid w:val="0"/>
        <w:spacing w:beforeAutospacing="0" w:afterAutospacing="0" w:line="360" w:lineRule="auto"/>
        <w:rPr>
          <w:rFonts w:hint="eastAsia"/>
          <w:b/>
          <w:bCs/>
          <w:color w:val="auto"/>
          <w:szCs w:val="22"/>
          <w:lang w:val="en-US" w:eastAsia="zh-CN"/>
        </w:rPr>
      </w:pPr>
      <w:r>
        <w:rPr>
          <w:rFonts w:hint="eastAsia"/>
          <w:b/>
          <w:bCs/>
          <w:color w:val="auto"/>
          <w:szCs w:val="22"/>
          <w:lang w:val="en-US" w:eastAsia="zh-CN"/>
        </w:rPr>
        <w:t>4、线圈尺寸、匝数与电感量：</w:t>
      </w:r>
    </w:p>
    <w:p>
      <w:pPr>
        <w:numPr>
          <w:ilvl w:val="0"/>
          <w:numId w:val="0"/>
        </w:numPr>
        <w:kinsoku/>
        <w:overflowPunct/>
        <w:topLinePunct w:val="0"/>
        <w:bidi w:val="0"/>
        <w:snapToGrid w:val="0"/>
        <w:spacing w:beforeAutospacing="0" w:afterAutospacing="0" w:line="360" w:lineRule="auto"/>
        <w:rPr>
          <w:rFonts w:hint="eastAsia"/>
          <w:b/>
          <w:bCs/>
          <w:color w:val="auto"/>
          <w:szCs w:val="22"/>
          <w:lang w:val="en-US" w:eastAsia="zh-CN"/>
        </w:rPr>
      </w:pPr>
      <w:r>
        <w:rPr>
          <w:rFonts w:hint="eastAsia"/>
          <w:b/>
          <w:bCs/>
          <w:color w:val="auto"/>
          <w:szCs w:val="22"/>
          <w:lang w:val="en-US" w:eastAsia="zh-CN"/>
        </w:rPr>
        <w:t>（1）线圈尺寸：</w:t>
      </w:r>
    </w:p>
    <w:p>
      <w:pPr>
        <w:numPr>
          <w:ilvl w:val="0"/>
          <w:numId w:val="0"/>
        </w:numPr>
        <w:kinsoku/>
        <w:overflowPunct/>
        <w:topLinePunct w:val="0"/>
        <w:bidi w:val="0"/>
        <w:snapToGrid w:val="0"/>
        <w:spacing w:beforeAutospacing="0" w:afterAutospacing="0" w:line="360" w:lineRule="auto"/>
        <w:ind w:firstLine="412" w:firstLineChars="200"/>
        <w:rPr>
          <w:rFonts w:hint="eastAsia"/>
          <w:color w:val="auto"/>
          <w:szCs w:val="22"/>
          <w:lang w:val="en-US" w:eastAsia="zh-CN"/>
        </w:rPr>
      </w:pPr>
      <w:r>
        <w:rPr>
          <w:rFonts w:hint="eastAsia"/>
          <w:color w:val="auto"/>
          <w:szCs w:val="22"/>
          <w:lang w:val="en-US" w:eastAsia="zh-CN"/>
        </w:rPr>
        <w:t>A、直杆和曲杆道闸地感：长200CM*宽100CM；</w:t>
      </w:r>
    </w:p>
    <w:p>
      <w:pPr>
        <w:numPr>
          <w:ilvl w:val="0"/>
          <w:numId w:val="0"/>
        </w:numPr>
        <w:kinsoku/>
        <w:overflowPunct/>
        <w:topLinePunct w:val="0"/>
        <w:bidi w:val="0"/>
        <w:snapToGrid w:val="0"/>
        <w:spacing w:beforeAutospacing="0" w:afterAutospacing="0" w:line="360" w:lineRule="auto"/>
        <w:ind w:firstLine="412" w:firstLineChars="200"/>
        <w:rPr>
          <w:rFonts w:hint="default"/>
          <w:b/>
          <w:bCs/>
          <w:color w:val="auto"/>
          <w:szCs w:val="22"/>
          <w:lang w:val="en-US" w:eastAsia="zh-CN"/>
        </w:rPr>
      </w:pPr>
      <w:r>
        <w:rPr>
          <w:rFonts w:hint="eastAsia"/>
          <w:color w:val="auto"/>
          <w:szCs w:val="22"/>
          <w:lang w:val="en-US" w:eastAsia="zh-CN"/>
        </w:rPr>
        <w:t>B、栅栏道闸地感：长200CM*宽100CM~120CM。</w:t>
      </w:r>
    </w:p>
    <w:p>
      <w:pPr>
        <w:numPr>
          <w:ilvl w:val="0"/>
          <w:numId w:val="0"/>
        </w:numPr>
        <w:kinsoku/>
        <w:overflowPunct/>
        <w:topLinePunct w:val="0"/>
        <w:bidi w:val="0"/>
        <w:snapToGrid w:val="0"/>
        <w:spacing w:beforeAutospacing="0" w:afterAutospacing="0" w:line="360" w:lineRule="auto"/>
        <w:ind w:firstLine="412" w:firstLineChars="200"/>
        <w:rPr>
          <w:rFonts w:hint="eastAsia"/>
          <w:color w:val="auto"/>
          <w:szCs w:val="22"/>
          <w:lang w:val="en-US" w:eastAsia="zh-CN"/>
        </w:rPr>
      </w:pPr>
      <w:r>
        <w:rPr>
          <w:rFonts w:hint="eastAsia"/>
          <w:color w:val="auto"/>
          <w:szCs w:val="22"/>
          <w:lang w:val="en-US" w:eastAsia="zh-CN"/>
        </w:rPr>
        <w:t>C、触发地感：长200CM*宽60CM</w:t>
      </w:r>
    </w:p>
    <w:p>
      <w:pPr>
        <w:numPr>
          <w:ilvl w:val="0"/>
          <w:numId w:val="0"/>
        </w:numPr>
        <w:kinsoku/>
        <w:overflowPunct/>
        <w:topLinePunct w:val="0"/>
        <w:bidi w:val="0"/>
        <w:snapToGrid w:val="0"/>
        <w:spacing w:beforeAutospacing="0" w:afterAutospacing="0" w:line="360" w:lineRule="auto"/>
        <w:ind w:firstLine="412" w:firstLineChars="200"/>
        <w:rPr>
          <w:rFonts w:hint="default"/>
          <w:color w:val="auto"/>
          <w:szCs w:val="22"/>
          <w:lang w:val="en-US" w:eastAsia="zh-CN"/>
        </w:rPr>
      </w:pPr>
      <w:r>
        <w:rPr>
          <w:rFonts w:hint="eastAsia"/>
          <w:color w:val="auto"/>
          <w:szCs w:val="22"/>
          <w:lang w:val="en-US" w:eastAsia="zh-CN"/>
        </w:rPr>
        <w:t>具体尺寸请按施工图规范要求施工。</w:t>
      </w:r>
    </w:p>
    <w:p>
      <w:pPr>
        <w:numPr>
          <w:ilvl w:val="0"/>
          <w:numId w:val="0"/>
        </w:numPr>
        <w:kinsoku/>
        <w:overflowPunct/>
        <w:topLinePunct w:val="0"/>
        <w:bidi w:val="0"/>
        <w:snapToGrid w:val="0"/>
        <w:spacing w:beforeAutospacing="0" w:afterAutospacing="0" w:line="360" w:lineRule="auto"/>
        <w:rPr>
          <w:rFonts w:hint="eastAsia"/>
          <w:color w:val="auto"/>
          <w:szCs w:val="22"/>
          <w:lang w:val="en-US" w:eastAsia="zh-CN"/>
        </w:rPr>
      </w:pPr>
      <w:r>
        <w:rPr>
          <w:rFonts w:hint="eastAsia"/>
          <w:b/>
          <w:bCs/>
          <w:color w:val="auto"/>
          <w:szCs w:val="22"/>
          <w:lang w:val="en-US" w:eastAsia="zh-CN"/>
        </w:rPr>
        <w:t>（2）线圈匝数：</w:t>
      </w:r>
    </w:p>
    <w:p>
      <w:pPr>
        <w:numPr>
          <w:ilvl w:val="0"/>
          <w:numId w:val="0"/>
        </w:numPr>
        <w:kinsoku/>
        <w:overflowPunct/>
        <w:topLinePunct w:val="0"/>
        <w:bidi w:val="0"/>
        <w:snapToGrid w:val="0"/>
        <w:spacing w:beforeAutospacing="0" w:afterAutospacing="0" w:line="360" w:lineRule="auto"/>
        <w:ind w:firstLine="412" w:firstLineChars="200"/>
        <w:rPr>
          <w:rFonts w:hint="eastAsia"/>
          <w:color w:val="auto"/>
          <w:szCs w:val="22"/>
          <w:lang w:val="en-US" w:eastAsia="zh-CN"/>
        </w:rPr>
      </w:pPr>
      <w:r>
        <w:rPr>
          <w:rFonts w:hint="eastAsia"/>
          <w:color w:val="auto"/>
          <w:szCs w:val="22"/>
          <w:lang w:val="en-US" w:eastAsia="zh-CN"/>
        </w:rPr>
        <w:t>参照下表：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2"/>
        <w:gridCol w:w="59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372" w:type="dxa"/>
            <w:noWrap w:val="0"/>
            <w:vAlign w:val="center"/>
          </w:tcPr>
          <w:p>
            <w:pPr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240" w:lineRule="auto"/>
              <w:jc w:val="center"/>
              <w:rPr>
                <w:rFonts w:hint="eastAsia" w:ascii="宋体" w:hAnsi="宋体"/>
                <w:b/>
                <w:bCs/>
                <w:color w:val="auto"/>
                <w:spacing w:val="10"/>
                <w:sz w:val="21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auto"/>
                <w:spacing w:val="10"/>
                <w:sz w:val="21"/>
                <w:szCs w:val="20"/>
              </w:rPr>
              <w:t>线圈周长</w:t>
            </w:r>
          </w:p>
        </w:tc>
        <w:tc>
          <w:tcPr>
            <w:tcW w:w="5987" w:type="dxa"/>
            <w:noWrap w:val="0"/>
            <w:vAlign w:val="center"/>
          </w:tcPr>
          <w:p>
            <w:pPr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240" w:lineRule="auto"/>
              <w:jc w:val="center"/>
              <w:rPr>
                <w:rFonts w:hint="eastAsia" w:ascii="宋体" w:hAnsi="宋体"/>
                <w:b/>
                <w:bCs/>
                <w:color w:val="auto"/>
                <w:spacing w:val="10"/>
                <w:sz w:val="21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auto"/>
                <w:spacing w:val="10"/>
                <w:sz w:val="21"/>
                <w:szCs w:val="20"/>
              </w:rPr>
              <w:t>线圈匝数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2372" w:type="dxa"/>
            <w:noWrap w:val="0"/>
            <w:vAlign w:val="center"/>
          </w:tcPr>
          <w:p>
            <w:pPr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240" w:lineRule="auto"/>
              <w:jc w:val="both"/>
              <w:rPr>
                <w:rFonts w:hint="eastAsia" w:ascii="宋体" w:hAnsi="宋体"/>
                <w:color w:val="auto"/>
                <w:spacing w:val="10"/>
                <w:sz w:val="21"/>
                <w:szCs w:val="20"/>
              </w:rPr>
            </w:pPr>
            <w:r>
              <w:rPr>
                <w:rFonts w:hint="eastAsia" w:ascii="宋体" w:hAnsi="宋体"/>
                <w:color w:val="auto"/>
                <w:spacing w:val="10"/>
                <w:sz w:val="21"/>
                <w:szCs w:val="20"/>
              </w:rPr>
              <w:t>3</w:t>
            </w:r>
            <w:r>
              <w:rPr>
                <w:rFonts w:ascii="宋体" w:hAnsi="宋体"/>
                <w:color w:val="auto"/>
                <w:spacing w:val="10"/>
                <w:sz w:val="21"/>
                <w:szCs w:val="20"/>
              </w:rPr>
              <w:t>—</w:t>
            </w:r>
            <w:r>
              <w:rPr>
                <w:rFonts w:hint="eastAsia" w:ascii="宋体" w:hAnsi="宋体"/>
                <w:color w:val="auto"/>
                <w:spacing w:val="10"/>
                <w:sz w:val="21"/>
                <w:szCs w:val="20"/>
              </w:rPr>
              <w:t>6米</w:t>
            </w:r>
          </w:p>
        </w:tc>
        <w:tc>
          <w:tcPr>
            <w:tcW w:w="5987" w:type="dxa"/>
            <w:noWrap w:val="0"/>
            <w:vAlign w:val="center"/>
          </w:tcPr>
          <w:p>
            <w:pPr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240" w:lineRule="auto"/>
              <w:jc w:val="both"/>
              <w:rPr>
                <w:rFonts w:hint="eastAsia" w:ascii="宋体" w:hAnsi="宋体"/>
                <w:color w:val="auto"/>
                <w:spacing w:val="10"/>
                <w:sz w:val="21"/>
                <w:szCs w:val="20"/>
              </w:rPr>
            </w:pPr>
            <w:r>
              <w:rPr>
                <w:rFonts w:hint="eastAsia" w:ascii="宋体" w:hAnsi="宋体"/>
                <w:color w:val="auto"/>
                <w:spacing w:val="10"/>
                <w:sz w:val="21"/>
                <w:szCs w:val="20"/>
              </w:rPr>
              <w:t>5-6匝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2372" w:type="dxa"/>
            <w:noWrap w:val="0"/>
            <w:vAlign w:val="center"/>
          </w:tcPr>
          <w:p>
            <w:pPr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240" w:lineRule="auto"/>
              <w:jc w:val="both"/>
              <w:rPr>
                <w:rFonts w:hint="eastAsia" w:ascii="宋体" w:hAnsi="宋体"/>
                <w:color w:val="auto"/>
                <w:spacing w:val="10"/>
                <w:sz w:val="21"/>
                <w:szCs w:val="20"/>
              </w:rPr>
            </w:pPr>
            <w:r>
              <w:rPr>
                <w:rFonts w:hint="eastAsia" w:ascii="宋体" w:hAnsi="宋体"/>
                <w:color w:val="auto"/>
                <w:spacing w:val="10"/>
                <w:sz w:val="21"/>
                <w:szCs w:val="20"/>
              </w:rPr>
              <w:t>6</w:t>
            </w:r>
            <w:r>
              <w:rPr>
                <w:rFonts w:ascii="宋体" w:hAnsi="宋体"/>
                <w:color w:val="auto"/>
                <w:spacing w:val="10"/>
                <w:sz w:val="21"/>
                <w:szCs w:val="20"/>
              </w:rPr>
              <w:t>—</w:t>
            </w:r>
            <w:r>
              <w:rPr>
                <w:rFonts w:hint="eastAsia" w:ascii="宋体" w:hAnsi="宋体"/>
                <w:color w:val="auto"/>
                <w:spacing w:val="10"/>
                <w:sz w:val="21"/>
                <w:szCs w:val="20"/>
              </w:rPr>
              <w:t>10米</w:t>
            </w:r>
          </w:p>
        </w:tc>
        <w:tc>
          <w:tcPr>
            <w:tcW w:w="5987" w:type="dxa"/>
            <w:noWrap w:val="0"/>
            <w:vAlign w:val="center"/>
          </w:tcPr>
          <w:p>
            <w:pPr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240" w:lineRule="auto"/>
              <w:jc w:val="both"/>
              <w:rPr>
                <w:rFonts w:hint="eastAsia" w:ascii="宋体" w:hAnsi="宋体"/>
                <w:color w:val="auto"/>
                <w:spacing w:val="10"/>
                <w:sz w:val="21"/>
                <w:szCs w:val="20"/>
              </w:rPr>
            </w:pPr>
            <w:r>
              <w:rPr>
                <w:rFonts w:hint="eastAsia" w:ascii="宋体" w:hAnsi="宋体"/>
                <w:color w:val="auto"/>
                <w:spacing w:val="10"/>
                <w:sz w:val="21"/>
                <w:szCs w:val="20"/>
              </w:rPr>
              <w:t>4-5匝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2372" w:type="dxa"/>
            <w:noWrap w:val="0"/>
            <w:vAlign w:val="center"/>
          </w:tcPr>
          <w:p>
            <w:pPr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240" w:lineRule="auto"/>
              <w:jc w:val="both"/>
              <w:rPr>
                <w:rFonts w:hint="eastAsia" w:ascii="宋体" w:hAnsi="宋体"/>
                <w:color w:val="auto"/>
                <w:spacing w:val="10"/>
                <w:sz w:val="21"/>
                <w:szCs w:val="20"/>
              </w:rPr>
            </w:pPr>
            <w:r>
              <w:rPr>
                <w:rFonts w:hint="eastAsia" w:ascii="宋体" w:hAnsi="宋体"/>
                <w:color w:val="auto"/>
                <w:spacing w:val="10"/>
                <w:sz w:val="21"/>
                <w:szCs w:val="20"/>
              </w:rPr>
              <w:t>10--25米</w:t>
            </w:r>
          </w:p>
        </w:tc>
        <w:tc>
          <w:tcPr>
            <w:tcW w:w="5987" w:type="dxa"/>
            <w:noWrap w:val="0"/>
            <w:vAlign w:val="center"/>
          </w:tcPr>
          <w:p>
            <w:pPr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240" w:lineRule="auto"/>
              <w:jc w:val="both"/>
              <w:rPr>
                <w:rFonts w:hint="eastAsia" w:ascii="宋体" w:hAnsi="宋体"/>
                <w:color w:val="auto"/>
                <w:spacing w:val="10"/>
                <w:sz w:val="21"/>
                <w:szCs w:val="20"/>
              </w:rPr>
            </w:pPr>
            <w:r>
              <w:rPr>
                <w:rFonts w:hint="eastAsia" w:ascii="宋体" w:hAnsi="宋体"/>
                <w:color w:val="auto"/>
                <w:spacing w:val="10"/>
                <w:sz w:val="21"/>
                <w:szCs w:val="20"/>
              </w:rPr>
              <w:t>3匝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2372" w:type="dxa"/>
            <w:noWrap w:val="0"/>
            <w:vAlign w:val="center"/>
          </w:tcPr>
          <w:p>
            <w:pPr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240" w:lineRule="auto"/>
              <w:jc w:val="both"/>
              <w:rPr>
                <w:rFonts w:hint="eastAsia" w:ascii="宋体" w:hAnsi="宋体"/>
                <w:color w:val="auto"/>
                <w:spacing w:val="10"/>
                <w:sz w:val="21"/>
                <w:szCs w:val="20"/>
              </w:rPr>
            </w:pPr>
            <w:r>
              <w:rPr>
                <w:rFonts w:hint="eastAsia" w:ascii="宋体" w:hAnsi="宋体"/>
                <w:color w:val="auto"/>
                <w:spacing w:val="10"/>
                <w:sz w:val="21"/>
                <w:szCs w:val="20"/>
              </w:rPr>
              <w:t>25米以上</w:t>
            </w:r>
          </w:p>
        </w:tc>
        <w:tc>
          <w:tcPr>
            <w:tcW w:w="5987" w:type="dxa"/>
            <w:noWrap w:val="0"/>
            <w:vAlign w:val="center"/>
          </w:tcPr>
          <w:p>
            <w:pPr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240" w:lineRule="auto"/>
              <w:jc w:val="both"/>
              <w:rPr>
                <w:rFonts w:hint="eastAsia" w:ascii="宋体" w:hAnsi="宋体"/>
                <w:color w:val="auto"/>
                <w:spacing w:val="10"/>
                <w:sz w:val="21"/>
                <w:szCs w:val="20"/>
              </w:rPr>
            </w:pPr>
            <w:r>
              <w:rPr>
                <w:rFonts w:hint="eastAsia" w:ascii="宋体" w:hAnsi="宋体"/>
                <w:color w:val="auto"/>
                <w:spacing w:val="10"/>
                <w:sz w:val="21"/>
                <w:szCs w:val="20"/>
              </w:rPr>
              <w:t>2匝</w:t>
            </w:r>
          </w:p>
        </w:tc>
      </w:tr>
    </w:tbl>
    <w:p>
      <w:pPr>
        <w:numPr>
          <w:ilvl w:val="0"/>
          <w:numId w:val="0"/>
        </w:numPr>
        <w:kinsoku/>
        <w:overflowPunct/>
        <w:topLinePunct w:val="0"/>
        <w:bidi w:val="0"/>
        <w:snapToGrid w:val="0"/>
        <w:spacing w:beforeAutospacing="0" w:afterAutospacing="0" w:line="360" w:lineRule="auto"/>
        <w:rPr>
          <w:rFonts w:hint="eastAsia"/>
          <w:color w:val="auto"/>
          <w:lang w:val="en-US" w:eastAsia="zh-CN"/>
        </w:rPr>
      </w:pPr>
    </w:p>
    <w:p>
      <w:pPr>
        <w:numPr>
          <w:ilvl w:val="0"/>
          <w:numId w:val="0"/>
        </w:numPr>
        <w:kinsoku/>
        <w:overflowPunct/>
        <w:topLinePunct w:val="0"/>
        <w:bidi w:val="0"/>
        <w:snapToGrid w:val="0"/>
        <w:spacing w:beforeAutospacing="0" w:afterAutospacing="0" w:line="360" w:lineRule="auto"/>
        <w:rPr>
          <w:rFonts w:hint="eastAsia"/>
          <w:color w:val="auto"/>
          <w:lang w:val="en-US" w:eastAsia="zh-CN"/>
        </w:rPr>
      </w:pPr>
    </w:p>
    <w:p>
      <w:pPr>
        <w:numPr>
          <w:ilvl w:val="0"/>
          <w:numId w:val="0"/>
        </w:numPr>
        <w:kinsoku/>
        <w:overflowPunct/>
        <w:topLinePunct w:val="0"/>
        <w:bidi w:val="0"/>
        <w:snapToGrid w:val="0"/>
        <w:spacing w:beforeAutospacing="0" w:afterAutospacing="0" w:line="360" w:lineRule="auto"/>
        <w:rPr>
          <w:rFonts w:hint="eastAsia"/>
          <w:color w:val="auto"/>
          <w:lang w:val="en-US" w:eastAsia="zh-CN"/>
        </w:rPr>
      </w:pPr>
    </w:p>
    <w:p>
      <w:pPr>
        <w:numPr>
          <w:ilvl w:val="0"/>
          <w:numId w:val="0"/>
        </w:numPr>
        <w:kinsoku/>
        <w:overflowPunct/>
        <w:topLinePunct w:val="0"/>
        <w:bidi w:val="0"/>
        <w:snapToGrid w:val="0"/>
        <w:spacing w:beforeAutospacing="0" w:afterAutospacing="0" w:line="360" w:lineRule="auto"/>
        <w:rPr>
          <w:rFonts w:hint="eastAsia"/>
          <w:color w:val="auto"/>
          <w:szCs w:val="22"/>
          <w:lang w:val="en-US" w:eastAsia="zh-CN"/>
        </w:rPr>
      </w:pPr>
      <w:r>
        <w:rPr>
          <w:rFonts w:hint="eastAsia"/>
          <w:color w:val="auto"/>
          <w:szCs w:val="22"/>
          <w:lang w:val="en-US" w:eastAsia="zh-CN"/>
        </w:rPr>
        <w:t>注：1、合约方必须按照上述规范要求施工，否则厂家有权拒绝调试开通，由此造成的一切损失由合约方负责。</w:t>
      </w:r>
    </w:p>
    <w:p>
      <w:pPr>
        <w:pStyle w:val="2"/>
        <w:numPr>
          <w:ilvl w:val="1"/>
          <w:numId w:val="0"/>
        </w:numPr>
        <w:kinsoku/>
        <w:overflowPunct/>
        <w:topLinePunct w:val="0"/>
        <w:bidi w:val="0"/>
        <w:snapToGrid w:val="0"/>
        <w:spacing w:before="0" w:beforeLines="0" w:beforeAutospacing="0" w:after="0" w:afterLines="0" w:afterAutospacing="0" w:line="360" w:lineRule="auto"/>
        <w:ind w:leftChars="0" w:firstLine="412" w:firstLineChars="200"/>
        <w:jc w:val="both"/>
        <w:rPr>
          <w:rFonts w:hint="eastAsia" w:ascii="Times New Roman" w:hAnsi="Times New Roman" w:eastAsia="宋体" w:cs="Times New Roman"/>
          <w:b w:val="0"/>
          <w:color w:val="auto"/>
          <w:kern w:val="2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color w:val="auto"/>
          <w:kern w:val="2"/>
          <w:sz w:val="21"/>
          <w:szCs w:val="22"/>
          <w:lang w:val="en-US" w:eastAsia="zh-CN" w:bidi="ar-SA"/>
        </w:rPr>
        <w:t>2、此《停车场系统施工规范》与合同条款具有同等约束力。</w:t>
      </w:r>
    </w:p>
    <w:p>
      <w:pPr>
        <w:numPr>
          <w:ilvl w:val="0"/>
          <w:numId w:val="0"/>
        </w:numPr>
        <w:kinsoku/>
        <w:overflowPunct/>
        <w:topLinePunct w:val="0"/>
        <w:bidi w:val="0"/>
        <w:snapToGrid w:val="0"/>
        <w:spacing w:beforeAutospacing="0" w:afterAutospacing="0" w:line="360" w:lineRule="auto"/>
        <w:rPr>
          <w:rFonts w:hint="default"/>
          <w:color w:val="auto"/>
          <w:szCs w:val="22"/>
          <w:lang w:val="en-US" w:eastAsia="zh-CN"/>
        </w:rPr>
      </w:pPr>
    </w:p>
    <w:p>
      <w:pPr>
        <w:numPr>
          <w:ilvl w:val="0"/>
          <w:numId w:val="0"/>
        </w:numPr>
        <w:kinsoku/>
        <w:overflowPunct/>
        <w:topLinePunct w:val="0"/>
        <w:bidi w:val="0"/>
        <w:snapToGrid w:val="0"/>
        <w:spacing w:beforeAutospacing="0" w:afterAutospacing="0" w:line="360" w:lineRule="auto"/>
        <w:rPr>
          <w:rFonts w:hint="default"/>
          <w:color w:val="auto"/>
          <w:szCs w:val="22"/>
          <w:lang w:val="en-US" w:eastAsia="zh-CN"/>
        </w:rPr>
      </w:pPr>
      <w:r>
        <w:rPr>
          <w:rFonts w:hint="eastAsia"/>
          <w:color w:val="auto"/>
          <w:szCs w:val="22"/>
          <w:lang w:val="en-US" w:eastAsia="zh-CN"/>
        </w:rPr>
        <w:t xml:space="preserve">                                                          深圳市车安科技发展有限公司</w:t>
      </w:r>
    </w:p>
    <w:sectPr>
      <w:pgSz w:w="11906" w:h="16838"/>
      <w:pgMar w:top="1134" w:right="1134" w:bottom="1134" w:left="1134" w:header="850" w:footer="1593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FullWidth"/>
      <w:cols w:space="0" w:num="1"/>
      <w:rtlGutter w:val="0"/>
      <w:docGrid w:type="linesAndChars" w:linePitch="579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12"/>
      </w:pPr>
      <w:r>
        <w:separator/>
      </w:r>
    </w:p>
  </w:endnote>
  <w:endnote w:type="continuationSeparator" w:id="1">
    <w:p>
      <w:pPr>
        <w:ind w:firstLine="41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12"/>
      </w:pPr>
      <w:r>
        <w:separator/>
      </w:r>
    </w:p>
  </w:footnote>
  <w:footnote w:type="continuationSeparator" w:id="1">
    <w:p>
      <w:pPr>
        <w:ind w:firstLine="41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4D4F86"/>
    <w:multiLevelType w:val="singleLevel"/>
    <w:tmpl w:val="814D4F86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AA85AE63"/>
    <w:multiLevelType w:val="singleLevel"/>
    <w:tmpl w:val="AA85AE63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E6873E59"/>
    <w:multiLevelType w:val="multilevel"/>
    <w:tmpl w:val="E6873E59"/>
    <w:lvl w:ilvl="0" w:tentative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2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3YTljYWRmMDBkM2VlNDU5MjRhYzhlNzdmMDUxYzMifQ=="/>
  </w:docVars>
  <w:rsids>
    <w:rsidRoot w:val="0D2358DA"/>
    <w:rsid w:val="00364A31"/>
    <w:rsid w:val="00C05AAB"/>
    <w:rsid w:val="00E00BCF"/>
    <w:rsid w:val="02635E5D"/>
    <w:rsid w:val="02BC6BD6"/>
    <w:rsid w:val="03496A04"/>
    <w:rsid w:val="034F153C"/>
    <w:rsid w:val="046D276C"/>
    <w:rsid w:val="053325AF"/>
    <w:rsid w:val="068A6C01"/>
    <w:rsid w:val="07B9527E"/>
    <w:rsid w:val="08620C8D"/>
    <w:rsid w:val="08A5555D"/>
    <w:rsid w:val="08B45BDC"/>
    <w:rsid w:val="0A176F5F"/>
    <w:rsid w:val="0A2A5AC5"/>
    <w:rsid w:val="0ABC1E0A"/>
    <w:rsid w:val="0C2954AB"/>
    <w:rsid w:val="0CC731D1"/>
    <w:rsid w:val="0CEC568C"/>
    <w:rsid w:val="0CF36A64"/>
    <w:rsid w:val="0D2358DA"/>
    <w:rsid w:val="0D630DEC"/>
    <w:rsid w:val="0D9323D6"/>
    <w:rsid w:val="0DF016F1"/>
    <w:rsid w:val="0DF84178"/>
    <w:rsid w:val="0E6174B2"/>
    <w:rsid w:val="0F424967"/>
    <w:rsid w:val="10C06C14"/>
    <w:rsid w:val="114C7D3F"/>
    <w:rsid w:val="118A5525"/>
    <w:rsid w:val="12367CF7"/>
    <w:rsid w:val="13F17C7C"/>
    <w:rsid w:val="14914C38"/>
    <w:rsid w:val="14DC29FF"/>
    <w:rsid w:val="150B04B6"/>
    <w:rsid w:val="159D39C7"/>
    <w:rsid w:val="162F1761"/>
    <w:rsid w:val="165D22D0"/>
    <w:rsid w:val="165E0314"/>
    <w:rsid w:val="16EA6ADE"/>
    <w:rsid w:val="18D63EF2"/>
    <w:rsid w:val="19052DB4"/>
    <w:rsid w:val="19750BBC"/>
    <w:rsid w:val="19C67E31"/>
    <w:rsid w:val="1A436BA6"/>
    <w:rsid w:val="1A4D08CE"/>
    <w:rsid w:val="1A7F3264"/>
    <w:rsid w:val="1B6F1962"/>
    <w:rsid w:val="1B9173E7"/>
    <w:rsid w:val="1CD31A7D"/>
    <w:rsid w:val="1EB465B0"/>
    <w:rsid w:val="1ECB5128"/>
    <w:rsid w:val="22AC5EA7"/>
    <w:rsid w:val="233F6741"/>
    <w:rsid w:val="23785CD9"/>
    <w:rsid w:val="2380046C"/>
    <w:rsid w:val="23A8533E"/>
    <w:rsid w:val="23F4799D"/>
    <w:rsid w:val="244A2955"/>
    <w:rsid w:val="25982407"/>
    <w:rsid w:val="26027081"/>
    <w:rsid w:val="28237D5C"/>
    <w:rsid w:val="285E2C53"/>
    <w:rsid w:val="28635E6C"/>
    <w:rsid w:val="28776312"/>
    <w:rsid w:val="28A60608"/>
    <w:rsid w:val="296277E1"/>
    <w:rsid w:val="2A503AC4"/>
    <w:rsid w:val="2B480DA3"/>
    <w:rsid w:val="2B7C73A4"/>
    <w:rsid w:val="2B827C79"/>
    <w:rsid w:val="2C067348"/>
    <w:rsid w:val="2CC9353E"/>
    <w:rsid w:val="2CCE4B47"/>
    <w:rsid w:val="2CE7517B"/>
    <w:rsid w:val="2D241100"/>
    <w:rsid w:val="2F2609BF"/>
    <w:rsid w:val="2F6D0DF3"/>
    <w:rsid w:val="2F8B7686"/>
    <w:rsid w:val="2FF73600"/>
    <w:rsid w:val="317B6B20"/>
    <w:rsid w:val="32CB361F"/>
    <w:rsid w:val="33567DA6"/>
    <w:rsid w:val="341C47F8"/>
    <w:rsid w:val="34AA21AD"/>
    <w:rsid w:val="34C61342"/>
    <w:rsid w:val="34E55B42"/>
    <w:rsid w:val="3522219B"/>
    <w:rsid w:val="376C0A8E"/>
    <w:rsid w:val="37971481"/>
    <w:rsid w:val="3829789E"/>
    <w:rsid w:val="383139A9"/>
    <w:rsid w:val="39676BEA"/>
    <w:rsid w:val="3A0349B2"/>
    <w:rsid w:val="3A0F6E29"/>
    <w:rsid w:val="3B494238"/>
    <w:rsid w:val="3D6C4E3E"/>
    <w:rsid w:val="3D752F07"/>
    <w:rsid w:val="3D902182"/>
    <w:rsid w:val="3DB72CD1"/>
    <w:rsid w:val="3E391075"/>
    <w:rsid w:val="3E87239C"/>
    <w:rsid w:val="3E8F5DC1"/>
    <w:rsid w:val="3EF6062A"/>
    <w:rsid w:val="3F130554"/>
    <w:rsid w:val="402B7EF7"/>
    <w:rsid w:val="4046126B"/>
    <w:rsid w:val="412D3451"/>
    <w:rsid w:val="42004812"/>
    <w:rsid w:val="42614617"/>
    <w:rsid w:val="43D715E6"/>
    <w:rsid w:val="44D441A9"/>
    <w:rsid w:val="44E17102"/>
    <w:rsid w:val="4511711A"/>
    <w:rsid w:val="46B87066"/>
    <w:rsid w:val="46CB4EBE"/>
    <w:rsid w:val="46DF50EC"/>
    <w:rsid w:val="46F30DEA"/>
    <w:rsid w:val="471C16ED"/>
    <w:rsid w:val="47B57E4D"/>
    <w:rsid w:val="489608CB"/>
    <w:rsid w:val="4AAE2711"/>
    <w:rsid w:val="4B0F67A1"/>
    <w:rsid w:val="4B883AD5"/>
    <w:rsid w:val="4BA8024E"/>
    <w:rsid w:val="4D244B33"/>
    <w:rsid w:val="4F2F5162"/>
    <w:rsid w:val="4F577BD3"/>
    <w:rsid w:val="4F826041"/>
    <w:rsid w:val="4F9734A9"/>
    <w:rsid w:val="4FF422E5"/>
    <w:rsid w:val="505C7520"/>
    <w:rsid w:val="50D85CCE"/>
    <w:rsid w:val="519B6306"/>
    <w:rsid w:val="528238FE"/>
    <w:rsid w:val="52890CFB"/>
    <w:rsid w:val="52CD7572"/>
    <w:rsid w:val="52E67206"/>
    <w:rsid w:val="55AB3238"/>
    <w:rsid w:val="55F208E6"/>
    <w:rsid w:val="57146C6F"/>
    <w:rsid w:val="574C772C"/>
    <w:rsid w:val="57F4715C"/>
    <w:rsid w:val="58251987"/>
    <w:rsid w:val="582A4DDF"/>
    <w:rsid w:val="58C16059"/>
    <w:rsid w:val="59491464"/>
    <w:rsid w:val="5A024267"/>
    <w:rsid w:val="5AF03C0F"/>
    <w:rsid w:val="5B083C96"/>
    <w:rsid w:val="5B647768"/>
    <w:rsid w:val="5C044171"/>
    <w:rsid w:val="5D745B1C"/>
    <w:rsid w:val="5DD9657F"/>
    <w:rsid w:val="5E0B4A2F"/>
    <w:rsid w:val="601E14C0"/>
    <w:rsid w:val="60AB2F67"/>
    <w:rsid w:val="60CC4158"/>
    <w:rsid w:val="60E636C7"/>
    <w:rsid w:val="60F77D31"/>
    <w:rsid w:val="61100A4F"/>
    <w:rsid w:val="61610B88"/>
    <w:rsid w:val="61A97A88"/>
    <w:rsid w:val="638F18A8"/>
    <w:rsid w:val="641A3EFF"/>
    <w:rsid w:val="6452462C"/>
    <w:rsid w:val="64A86DC8"/>
    <w:rsid w:val="651B7747"/>
    <w:rsid w:val="653B4377"/>
    <w:rsid w:val="659B3599"/>
    <w:rsid w:val="67807DD8"/>
    <w:rsid w:val="68627EF2"/>
    <w:rsid w:val="68696402"/>
    <w:rsid w:val="692D3D82"/>
    <w:rsid w:val="6C5E2EE5"/>
    <w:rsid w:val="6CAE28BA"/>
    <w:rsid w:val="6CC850E7"/>
    <w:rsid w:val="6D6E00B4"/>
    <w:rsid w:val="6D8318BD"/>
    <w:rsid w:val="6DBB060D"/>
    <w:rsid w:val="6DE62C4E"/>
    <w:rsid w:val="6E9B065A"/>
    <w:rsid w:val="6FCA03B2"/>
    <w:rsid w:val="702527FA"/>
    <w:rsid w:val="70522B83"/>
    <w:rsid w:val="70C146D6"/>
    <w:rsid w:val="716756DB"/>
    <w:rsid w:val="718C6157"/>
    <w:rsid w:val="71DB1E04"/>
    <w:rsid w:val="72135C83"/>
    <w:rsid w:val="72B94897"/>
    <w:rsid w:val="730343AC"/>
    <w:rsid w:val="73E37440"/>
    <w:rsid w:val="76274B0B"/>
    <w:rsid w:val="766E2ED7"/>
    <w:rsid w:val="76B672D3"/>
    <w:rsid w:val="77533ABF"/>
    <w:rsid w:val="77A43055"/>
    <w:rsid w:val="77E3176B"/>
    <w:rsid w:val="78151C8F"/>
    <w:rsid w:val="784E7EE0"/>
    <w:rsid w:val="78E77F70"/>
    <w:rsid w:val="79894562"/>
    <w:rsid w:val="79CD4FB6"/>
    <w:rsid w:val="7A276312"/>
    <w:rsid w:val="7A29009A"/>
    <w:rsid w:val="7A702709"/>
    <w:rsid w:val="7A8D04B5"/>
    <w:rsid w:val="7AA65250"/>
    <w:rsid w:val="7B434A20"/>
    <w:rsid w:val="7B6B7CBF"/>
    <w:rsid w:val="7BD67640"/>
    <w:rsid w:val="7C2775F1"/>
    <w:rsid w:val="7C9C5032"/>
    <w:rsid w:val="7CF17690"/>
    <w:rsid w:val="7D1156F6"/>
    <w:rsid w:val="7E59508A"/>
    <w:rsid w:val="7F6D2899"/>
    <w:rsid w:val="7F865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480" w:firstLineChars="20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numPr>
        <w:ilvl w:val="1"/>
        <w:numId w:val="1"/>
      </w:numPr>
      <w:spacing w:before="520" w:beforeLines="0" w:beforeAutospacing="0" w:after="260" w:afterLines="0" w:afterAutospacing="0" w:line="360" w:lineRule="auto"/>
      <w:ind w:left="0" w:firstLine="0" w:firstLineChars="0"/>
      <w:outlineLvl w:val="1"/>
    </w:pPr>
    <w:rPr>
      <w:rFonts w:ascii="Arial" w:hAnsi="Arial" w:eastAsia="黑体"/>
      <w:b/>
      <w:sz w:val="28"/>
    </w:rPr>
  </w:style>
  <w:style w:type="paragraph" w:styleId="3">
    <w:name w:val="heading 3"/>
    <w:basedOn w:val="1"/>
    <w:next w:val="1"/>
    <w:qFormat/>
    <w:uiPriority w:val="9"/>
    <w:pPr>
      <w:keepNext/>
      <w:keepLines/>
      <w:numPr>
        <w:ilvl w:val="2"/>
        <w:numId w:val="1"/>
      </w:numPr>
      <w:spacing w:before="520" w:beforeLines="0" w:beforeAutospacing="0" w:after="260" w:afterLines="0" w:afterAutospacing="0" w:line="413" w:lineRule="auto"/>
      <w:ind w:left="720" w:firstLine="0" w:firstLineChars="0"/>
      <w:outlineLvl w:val="2"/>
    </w:pPr>
    <w:rPr>
      <w:rFonts w:eastAsia="黑体"/>
      <w:b/>
      <w:sz w:val="28"/>
    </w:rPr>
  </w:style>
  <w:style w:type="paragraph" w:styleId="4">
    <w:name w:val="heading 4"/>
    <w:basedOn w:val="1"/>
    <w:next w:val="1"/>
    <w:qFormat/>
    <w:uiPriority w:val="9"/>
    <w:pPr>
      <w:keepNext/>
      <w:keepLines/>
      <w:numPr>
        <w:ilvl w:val="3"/>
        <w:numId w:val="1"/>
      </w:numPr>
      <w:spacing w:before="180" w:beforeLines="180" w:after="100" w:afterLines="100"/>
      <w:ind w:left="864" w:hanging="864" w:firstLineChars="0"/>
      <w:outlineLvl w:val="3"/>
    </w:pPr>
    <w:rPr>
      <w:rFonts w:ascii="Cambria" w:hAnsi="Cambria" w:eastAsia="宋体" w:cs="Times New Roman"/>
      <w:b/>
      <w:bCs/>
      <w:iCs/>
      <w:color w:val="000000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unhideWhenUsed/>
    <w:qFormat/>
    <w:uiPriority w:val="99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1245</Words>
  <Characters>1373</Characters>
  <Lines>0</Lines>
  <Paragraphs>0</Paragraphs>
  <TotalTime>31</TotalTime>
  <ScaleCrop>false</ScaleCrop>
  <LinksUpToDate>false</LinksUpToDate>
  <CharactersWithSpaces>1447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2022-10-12T08:41:00Z</dcterms:created>
  <dc:creator>Steven</dc:creator>
  <cp:lastModifiedBy>Steven</cp:lastModifiedBy>
  <dcterms:modified xsi:type="dcterms:W3CDTF">2022-12-29T03:17:32Z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0E798D3D97894284BDE6199B662856AC</vt:lpwstr>
  </property>
</Properties>
</file>